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510" w:rsidRDefault="006715C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A1510" w:rsidRDefault="006715C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1.012883</w:t>
      </w:r>
    </w:p>
    <w:p w:rsidR="005A1510" w:rsidRDefault="006715C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5A1510" w:rsidRDefault="006715C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Chuyển đổi công năng nhà ở đối với nhà ở xây dựng trong dự án thuộc thẩm quyền chấp thuận của UBND cấp tỉnh</w:t>
      </w:r>
    </w:p>
    <w:p w:rsidR="005A1510" w:rsidRDefault="006715C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A1510" w:rsidRDefault="006715C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w:t>
      </w:r>
      <w:r>
        <w:rPr>
          <w:rFonts w:ascii="Times New Roman" w:eastAsia="Times New Roman" w:hAnsi="Times New Roman" w:cs="Times New Roman"/>
          <w:sz w:val="26"/>
        </w:rPr>
        <w:t>quy định chi tiết</w:t>
      </w:r>
    </w:p>
    <w:p w:rsidR="005A1510" w:rsidRDefault="006715C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5A1510" w:rsidRDefault="006715C2">
      <w:pPr>
        <w:spacing w:after="0" w:line="276" w:lineRule="auto"/>
        <w:jc w:val="both"/>
      </w:pPr>
      <w:r>
        <w:rPr>
          <w:rFonts w:ascii="Times New Roman" w:eastAsia="Times New Roman" w:hAnsi="Times New Roman" w:cs="Times New Roman"/>
          <w:b/>
          <w:sz w:val="26"/>
        </w:rPr>
        <w:t xml:space="preserve">Trình tự thực hiện: </w:t>
      </w:r>
    </w:p>
    <w:p w:rsidR="005A1510" w:rsidRDefault="005A1510">
      <w:pPr>
        <w:shd w:val="clear" w:color="auto" w:fill="F2F6F9"/>
        <w:spacing w:before="120" w:after="0" w:line="276" w:lineRule="auto"/>
        <w:jc w:val="both"/>
      </w:pPr>
    </w:p>
    <w:p w:rsidR="005A1510" w:rsidRDefault="006715C2">
      <w:pPr>
        <w:spacing w:after="0" w:line="276" w:lineRule="auto"/>
        <w:jc w:val="both"/>
      </w:pPr>
      <w:r>
        <w:rPr>
          <w:rFonts w:ascii="Times New Roman" w:eastAsia="Times New Roman" w:hAnsi="Times New Roman" w:cs="Times New Roman"/>
          <w:sz w:val="26"/>
        </w:rPr>
        <w:t>- Chủ đầu tư lập 01 bộ hồ sơ quy định tại khoản 1 Điều 51 Nghị định số 95/2024/NĐ-CP ngày 24/7/2024 của Chính phủ và gửi đến Sở Xây dựng nơi có nhà ở;</w:t>
      </w:r>
    </w:p>
    <w:p w:rsidR="005A1510" w:rsidRDefault="006715C2">
      <w:pPr>
        <w:spacing w:after="0" w:line="276" w:lineRule="auto"/>
        <w:jc w:val="both"/>
      </w:pPr>
      <w:r>
        <w:rPr>
          <w:rFonts w:ascii="Times New Roman" w:eastAsia="Times New Roman" w:hAnsi="Times New Roman" w:cs="Times New Roman"/>
          <w:sz w:val="26"/>
        </w:rPr>
        <w:t>- Trong thời hạn tối đa 15 ngày, kể từ</w:t>
      </w:r>
      <w:r>
        <w:rPr>
          <w:rFonts w:ascii="Times New Roman" w:eastAsia="Times New Roman" w:hAnsi="Times New Roman" w:cs="Times New Roman"/>
          <w:sz w:val="26"/>
        </w:rPr>
        <w:t xml:space="preserve"> ngày nhận được hồ sơ, cơ quan tiếp nhận hồ sơ phải kiểm tra hồ sơ; nếu đáp ứng quy định thì báo cáo Ủy ban nhân dân cấp tỉnh nơi có nhà ở chấp thuận chuyển đổi công năng; trường hợp không đủ điều kiện chuyển đổi công năng nhà ở thì phải có văn bản trả lời</w:t>
      </w:r>
      <w:r>
        <w:rPr>
          <w:rFonts w:ascii="Times New Roman" w:eastAsia="Times New Roman" w:hAnsi="Times New Roman" w:cs="Times New Roman"/>
          <w:sz w:val="26"/>
        </w:rPr>
        <w:t xml:space="preserve"> chủ đầu tư nêu rõ lý do;</w:t>
      </w:r>
    </w:p>
    <w:p w:rsidR="005A1510" w:rsidRDefault="006715C2">
      <w:pPr>
        <w:spacing w:after="0" w:line="276" w:lineRule="auto"/>
        <w:jc w:val="both"/>
      </w:pPr>
      <w:r>
        <w:rPr>
          <w:rFonts w:ascii="Times New Roman" w:eastAsia="Times New Roman" w:hAnsi="Times New Roman" w:cs="Times New Roman"/>
          <w:sz w:val="26"/>
        </w:rPr>
        <w:t xml:space="preserve">- Trong thời hạn tối đa 30 ngày, kể từ ngày nhận được hồ sơ đề nghị của Sở Xây dựng, Ủy ban nhân dân cấp tỉnh xem xét, chấp thuận việc chuyển đổi công năng nhà ở; trường hợp không đủ điều kiện chuyển đổi công năng thì Ủy ban nhân </w:t>
      </w:r>
      <w:r>
        <w:rPr>
          <w:rFonts w:ascii="Times New Roman" w:eastAsia="Times New Roman" w:hAnsi="Times New Roman" w:cs="Times New Roman"/>
          <w:sz w:val="26"/>
        </w:rPr>
        <w:t>dân cấp tỉnh phải có văn bản gửi Sở Xây dựng nêu rõ lý do để trả lời cho chủ đầu tư biết.</w:t>
      </w:r>
    </w:p>
    <w:p w:rsidR="005A1510" w:rsidRDefault="006715C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38"/>
        <w:gridCol w:w="1381"/>
        <w:gridCol w:w="2276"/>
        <w:gridCol w:w="4416"/>
      </w:tblGrid>
      <w:tr w:rsidR="005A1510">
        <w:tblPrEx>
          <w:tblCellMar>
            <w:top w:w="0" w:type="dxa"/>
            <w:bottom w:w="0" w:type="dxa"/>
          </w:tblCellMar>
        </w:tblPrEx>
        <w:tc>
          <w:tcPr>
            <w:tcW w:w="15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Hình thức nộp</w:t>
            </w:r>
          </w:p>
        </w:tc>
        <w:tc>
          <w:tcPr>
            <w:tcW w:w="20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Phí, lệ phí</w:t>
            </w:r>
          </w:p>
        </w:tc>
        <w:tc>
          <w:tcPr>
            <w:tcW w:w="30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Mô tả</w:t>
            </w:r>
          </w:p>
        </w:tc>
      </w:tr>
      <w:tr w:rsidR="005A1510">
        <w:tblPrEx>
          <w:tblCellMar>
            <w:top w:w="0" w:type="dxa"/>
            <w:bottom w:w="0" w:type="dxa"/>
          </w:tblCellMar>
        </w:tblPrEx>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Trực tiếp</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45 Ngày</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Phí : 0 Đồng (Không quy định.)</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 xml:space="preserve">Không quá 45 ngày, kể từ ngày cơ </w:t>
            </w:r>
            <w:r>
              <w:rPr>
                <w:rFonts w:ascii="Times New Roman" w:eastAsia="Times New Roman" w:hAnsi="Times New Roman" w:cs="Times New Roman"/>
                <w:sz w:val="26"/>
              </w:rPr>
              <w:t>quan tiếp nhận nhận đủ hồ sơ hợp lệ.</w:t>
            </w:r>
          </w:p>
        </w:tc>
      </w:tr>
      <w:tr w:rsidR="005A1510">
        <w:tblPrEx>
          <w:tblCellMar>
            <w:top w:w="0" w:type="dxa"/>
            <w:bottom w:w="0" w:type="dxa"/>
          </w:tblCellMar>
        </w:tblPrEx>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Trực tuyến</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45 Ngày</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Phí : 0 Đồng (Không quy định.)</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Không quá 45 ngày, kể từ ngày cơ quan tiếp nhận nhận đủ hồ sơ hợp lệ.</w:t>
            </w:r>
          </w:p>
        </w:tc>
      </w:tr>
      <w:tr w:rsidR="005A1510">
        <w:tblPrEx>
          <w:tblCellMar>
            <w:top w:w="0" w:type="dxa"/>
            <w:bottom w:w="0" w:type="dxa"/>
          </w:tblCellMar>
        </w:tblPrEx>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Dịch vụ bưu chính</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45 Ngày</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Phí : 0 Đồng (Không quy định.)</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Không quá 45 ngày, kể từ ngày cơ</w:t>
            </w:r>
            <w:r>
              <w:rPr>
                <w:rFonts w:ascii="Times New Roman" w:eastAsia="Times New Roman" w:hAnsi="Times New Roman" w:cs="Times New Roman"/>
                <w:sz w:val="26"/>
              </w:rPr>
              <w:t xml:space="preserve"> quan tiếp nhận nhận đủ hồ sơ hợp lệ.</w:t>
            </w:r>
          </w:p>
        </w:tc>
      </w:tr>
    </w:tbl>
    <w:p w:rsidR="005A1510" w:rsidRDefault="006715C2">
      <w:pPr>
        <w:spacing w:before="240" w:after="0" w:line="276" w:lineRule="auto"/>
        <w:jc w:val="both"/>
      </w:pPr>
      <w:r>
        <w:rPr>
          <w:rFonts w:ascii="Times New Roman" w:eastAsia="Times New Roman" w:hAnsi="Times New Roman" w:cs="Times New Roman"/>
          <w:b/>
          <w:sz w:val="26"/>
        </w:rPr>
        <w:t xml:space="preserve">Thành phần hồ sơ: </w:t>
      </w:r>
    </w:p>
    <w:p w:rsidR="005A1510" w:rsidRDefault="006715C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906"/>
        <w:gridCol w:w="1593"/>
        <w:gridCol w:w="912"/>
      </w:tblGrid>
      <w:tr w:rsidR="005A1510">
        <w:tblPrEx>
          <w:tblCellMar>
            <w:top w:w="0" w:type="dxa"/>
            <w:bottom w:w="0" w:type="dxa"/>
          </w:tblCellMar>
        </w:tblPrEx>
        <w:tc>
          <w:tcPr>
            <w:tcW w:w="60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Tên giấy tờ</w:t>
            </w:r>
          </w:p>
        </w:tc>
        <w:tc>
          <w:tcPr>
            <w:tcW w:w="20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Mẫu đơn, tờ khai</w:t>
            </w:r>
          </w:p>
        </w:tc>
        <w:tc>
          <w:tcPr>
            <w:tcW w:w="20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Số lượng</w:t>
            </w:r>
          </w:p>
        </w:tc>
      </w:tr>
      <w:tr w:rsidR="005A1510">
        <w:tblPrEx>
          <w:tblCellMar>
            <w:top w:w="0" w:type="dxa"/>
            <w:bottom w:w="0" w:type="dxa"/>
          </w:tblCellMar>
        </w:tblPrEx>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 Văn bản đề nghị chuyển đổi công năng nhà ở được lập theo Phụ lục IV ban hành kèm theo Nghị định số 95/2024/NĐ-CP; -</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 xml:space="preserve">Văn bản đề nghị chuyển đổi </w:t>
            </w:r>
            <w:r>
              <w:rPr>
                <w:rFonts w:ascii="Times New Roman" w:eastAsia="Times New Roman" w:hAnsi="Times New Roman" w:cs="Times New Roman"/>
                <w:sz w:val="26"/>
              </w:rPr>
              <w:t>công năng nhà ở.docx</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A1510">
        <w:tblPrEx>
          <w:tblCellMar>
            <w:top w:w="0" w:type="dxa"/>
            <w:bottom w:w="0" w:type="dxa"/>
          </w:tblCellMar>
        </w:tblPrEx>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 xml:space="preserve">- Đề án chuyển đổi công năng nhà ở bao gồm các nội dung: địa chỉ, số lượng nhà ở cần chuyển đổi; nguyên nhân, sự cần thiết phải chuyển đổi công năng nhà ở, thời gian thực hiện việc chuyển đổi, loại nhà ở sau </w:t>
            </w:r>
            <w:r>
              <w:rPr>
                <w:rFonts w:ascii="Times New Roman" w:eastAsia="Times New Roman" w:hAnsi="Times New Roman" w:cs="Times New Roman"/>
                <w:sz w:val="26"/>
              </w:rPr>
              <w:t xml:space="preserve">khi chuyển đổi, phương án quản lý sử dụng nhà ở sau khi chuyển đổi (cho thuê, cho thuê mua hoặc bán theo quy định pháp luật về nhà ở), trách nhiệm thực hiện của các cá nhân, cơ quan, tổ chức liên quan, việc thực hiện nghĩa vụ tài chính (nếu có) và các nội </w:t>
            </w:r>
            <w:r>
              <w:rPr>
                <w:rFonts w:ascii="Times New Roman" w:eastAsia="Times New Roman" w:hAnsi="Times New Roman" w:cs="Times New Roman"/>
                <w:sz w:val="26"/>
              </w:rPr>
              <w:t>dung khác có liên quan;</w:t>
            </w:r>
          </w:p>
        </w:tc>
        <w:tc>
          <w:tcPr>
            <w:tcW w:w="0" w:type="auto"/>
          </w:tcPr>
          <w:p w:rsidR="005A1510" w:rsidRDefault="005A1510"/>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A1510">
        <w:tblPrEx>
          <w:tblCellMar>
            <w:top w:w="0" w:type="dxa"/>
            <w:bottom w:w="0" w:type="dxa"/>
          </w:tblCellMar>
        </w:tblPrEx>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 xml:space="preserve">- Bản sao và xuất trình bản chính để đối chiếu hoặc bản sao được chứng thực hoặc bản sao điện tử có giá trị pháp lý giấy tờ: Quyết định hoặc chấp thuận chủ trương đầu tư dự án của cơ quan có thẩm quyền, </w:t>
            </w:r>
            <w:r>
              <w:rPr>
                <w:rFonts w:ascii="Times New Roman" w:eastAsia="Times New Roman" w:hAnsi="Times New Roman" w:cs="Times New Roman"/>
                <w:sz w:val="26"/>
              </w:rPr>
              <w:t>giấy tờ nghiệm thu đưa nhà ở vào sử dụng theo quy định của pháp luật về xây dựng</w:t>
            </w:r>
          </w:p>
        </w:tc>
        <w:tc>
          <w:tcPr>
            <w:tcW w:w="0" w:type="auto"/>
          </w:tcPr>
          <w:p w:rsidR="005A1510" w:rsidRDefault="005A1510"/>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A1510" w:rsidRDefault="006715C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Doanh nghiệp, Tổ chức (không bao gồm doanh nghiệp, HTX)</w:t>
      </w:r>
    </w:p>
    <w:p w:rsidR="005A1510" w:rsidRDefault="006715C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5A1510" w:rsidRDefault="006715C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5A1510" w:rsidRDefault="006715C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của UBND cấp tỉnh hoặc Bộ phận tiếp nhận và trả kết quả giải quyết TTHC</w:t>
      </w:r>
    </w:p>
    <w:p w:rsidR="005A1510" w:rsidRDefault="006715C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A1510" w:rsidRDefault="006715C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A1510" w:rsidRDefault="006715C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chấp thuận chuyển đổi công năng nhà ở của UBND cấp tỉnh.</w:t>
      </w:r>
    </w:p>
    <w:p w:rsidR="005A1510" w:rsidRDefault="006715C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22"/>
        <w:gridCol w:w="5333"/>
        <w:gridCol w:w="904"/>
        <w:gridCol w:w="1452"/>
      </w:tblGrid>
      <w:tr w:rsidR="005A1510">
        <w:tblPrEx>
          <w:tblCellMar>
            <w:top w:w="0" w:type="dxa"/>
            <w:bottom w:w="0" w:type="dxa"/>
          </w:tblCellMar>
        </w:tblPrEx>
        <w:tc>
          <w:tcPr>
            <w:tcW w:w="20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Số ký hiệu</w:t>
            </w:r>
          </w:p>
        </w:tc>
        <w:tc>
          <w:tcPr>
            <w:tcW w:w="35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Trích yếu</w:t>
            </w:r>
          </w:p>
        </w:tc>
        <w:tc>
          <w:tcPr>
            <w:tcW w:w="15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 xml:space="preserve">Ngày ban </w:t>
            </w:r>
            <w:r>
              <w:rPr>
                <w:rFonts w:ascii="Times New Roman" w:eastAsia="Times New Roman" w:hAnsi="Times New Roman" w:cs="Times New Roman"/>
                <w:b/>
                <w:sz w:val="26"/>
              </w:rPr>
              <w:lastRenderedPageBreak/>
              <w:t>hành</w:t>
            </w:r>
          </w:p>
        </w:tc>
        <w:tc>
          <w:tcPr>
            <w:tcW w:w="3000" w:type="dxa"/>
          </w:tcPr>
          <w:p w:rsidR="005A1510" w:rsidRDefault="005A1510"/>
          <w:p w:rsidR="005A1510" w:rsidRDefault="006715C2">
            <w:pPr>
              <w:spacing w:after="0" w:line="276" w:lineRule="auto"/>
              <w:jc w:val="center"/>
            </w:pPr>
            <w:r>
              <w:rPr>
                <w:rFonts w:ascii="Times New Roman" w:eastAsia="Times New Roman" w:hAnsi="Times New Roman" w:cs="Times New Roman"/>
                <w:b/>
                <w:sz w:val="26"/>
              </w:rPr>
              <w:t>Cơ quan ban hành</w:t>
            </w:r>
          </w:p>
        </w:tc>
      </w:tr>
      <w:tr w:rsidR="005A1510">
        <w:tblPrEx>
          <w:tblCellMar>
            <w:top w:w="0" w:type="dxa"/>
            <w:bottom w:w="0" w:type="dxa"/>
          </w:tblCellMar>
        </w:tblPrEx>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27/2023/QH15</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Luật Nhà ở số 27/2023/QH15</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27-11-2023</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Quốc Hội</w:t>
            </w:r>
          </w:p>
        </w:tc>
      </w:tr>
      <w:tr w:rsidR="005A1510">
        <w:tblPrEx>
          <w:tblCellMar>
            <w:top w:w="0" w:type="dxa"/>
            <w:bottom w:w="0" w:type="dxa"/>
          </w:tblCellMar>
        </w:tblPrEx>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95/2024/NĐ-CP</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 xml:space="preserve">Nghị định số </w:t>
            </w:r>
            <w:r>
              <w:rPr>
                <w:rFonts w:ascii="Times New Roman" w:eastAsia="Times New Roman" w:hAnsi="Times New Roman" w:cs="Times New Roman"/>
                <w:sz w:val="26"/>
              </w:rPr>
              <w:t>95/2024/NĐ-CP ngày 24 tháng 7 năm 2024 của Chính phủ về quy định chi tiết một số điều của Luật Nhà ở;</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24-07-2024</w:t>
            </w:r>
          </w:p>
        </w:tc>
        <w:tc>
          <w:tcPr>
            <w:tcW w:w="0" w:type="auto"/>
          </w:tcPr>
          <w:p w:rsidR="005A1510" w:rsidRDefault="005A1510"/>
          <w:p w:rsidR="005A1510" w:rsidRDefault="006715C2">
            <w:pPr>
              <w:spacing w:after="0" w:line="276" w:lineRule="auto"/>
            </w:pPr>
            <w:r>
              <w:rPr>
                <w:rFonts w:ascii="Times New Roman" w:eastAsia="Times New Roman" w:hAnsi="Times New Roman" w:cs="Times New Roman"/>
                <w:sz w:val="26"/>
              </w:rPr>
              <w:t>Chính phủ</w:t>
            </w:r>
          </w:p>
        </w:tc>
      </w:tr>
    </w:tbl>
    <w:p w:rsidR="005A1510" w:rsidRDefault="006715C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Nhà ở đã hoàn thành việc nghiệm thu đưa vào sử dụng theo quy định của pháp luật về xây dựng nhưng </w:t>
      </w:r>
      <w:r>
        <w:rPr>
          <w:rFonts w:ascii="Times New Roman" w:eastAsia="Times New Roman" w:hAnsi="Times New Roman" w:cs="Times New Roman"/>
          <w:sz w:val="26"/>
        </w:rPr>
        <w:t>chưa bố trí sử dụng. - Nhà ở chuyển đổi công năng phải đáp ứng quy định tại khoản 2 Điều 124 của Luật Nhà ở và quy định tại Điều 49 của Nghị định 95/2024/NĐ-CP. - Chỉ thực hiện chuyển đổi công năng đối với nhà ở thuộc diện quy định tại khoản 1 Điều 124 của</w:t>
      </w:r>
      <w:r>
        <w:rPr>
          <w:rFonts w:ascii="Times New Roman" w:eastAsia="Times New Roman" w:hAnsi="Times New Roman" w:cs="Times New Roman"/>
          <w:sz w:val="26"/>
        </w:rPr>
        <w:t xml:space="preserve"> Luật Nhà ở; đối với nhà chung cư thì có thể chuyển đổi một phần hoặc toàn bộ nhà chung cư. - Việc chuyển đổi công năng nhà ở không được làm thay đổi hệ thống hạ tầng kỹ thuật, hạ tầng xã hội của khu vực có nhà ở chuyển đổi, phải bảo đảm quy chuẩn, tiêu ch</w:t>
      </w:r>
      <w:r>
        <w:rPr>
          <w:rFonts w:ascii="Times New Roman" w:eastAsia="Times New Roman" w:hAnsi="Times New Roman" w:cs="Times New Roman"/>
          <w:sz w:val="26"/>
        </w:rPr>
        <w:t>uẩn theo pháp luật về xây dựng và tuân thủ nghĩa vụ tài chính, thuế đối với nhà ở được chuyển đổi theo quy định của pháp luật về đất đai, pháp luật về nhà ở, pháp luật về thuế và pháp luật có liên quan. - Nhà ở chuyển đổi công năng phải có cùng nguồn vốn đ</w:t>
      </w:r>
      <w:r>
        <w:rPr>
          <w:rFonts w:ascii="Times New Roman" w:eastAsia="Times New Roman" w:hAnsi="Times New Roman" w:cs="Times New Roman"/>
          <w:sz w:val="26"/>
        </w:rPr>
        <w:t>ầu tư xây dựng với nhà ở sau chuyển đổi.</w:t>
      </w:r>
    </w:p>
    <w:p w:rsidR="005A1510" w:rsidRDefault="006715C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A1510" w:rsidRDefault="006715C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A1510">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A1510"/>
    <w:rsid w:val="005A1510"/>
    <w:rsid w:val="006715C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2B1C8C-A80E-4EC7-BF8E-10077722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659</Words>
  <Characters>3757</Characters>
  <Application>Microsoft Office Word</Application>
  <DocSecurity>0</DocSecurity>
  <Lines>31</Lines>
  <Paragraphs>8</Paragraphs>
  <ScaleCrop>false</ScaleCrop>
  <Company>Microsoft</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